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2A71" w14:textId="07592924" w:rsidR="00B04126" w:rsidRDefault="00B04126" w:rsidP="00741757">
      <w:pPr>
        <w:pStyle w:val="Testonormale"/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04126">
        <w:rPr>
          <w:rFonts w:ascii="Times New Roman" w:hAnsi="Times New Roman" w:cs="Times New Roman"/>
          <w:b/>
          <w:bCs/>
          <w:sz w:val="28"/>
          <w:szCs w:val="28"/>
          <w:u w:val="single"/>
        </w:rPr>
        <w:t>MOZIONE SUL DDL COSTITUZIONALE IN MATERIA DI SEPARAZIONE DELLE CARRIERE</w:t>
      </w:r>
    </w:p>
    <w:p w14:paraId="68A2899E" w14:textId="77777777" w:rsidR="00B04126" w:rsidRPr="00B04126" w:rsidRDefault="00B04126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5C19CC" w14:textId="013FFA40" w:rsidR="001B38AA" w:rsidRPr="00A2123F" w:rsidRDefault="00A64409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>N</w:t>
      </w:r>
      <w:r w:rsidR="007B48BA" w:rsidRPr="00A2123F">
        <w:rPr>
          <w:rFonts w:ascii="Times New Roman" w:hAnsi="Times New Roman" w:cs="Times New Roman"/>
          <w:sz w:val="28"/>
          <w:szCs w:val="28"/>
        </w:rPr>
        <w:t>egli ultimi mesi si sono intensificati interventi e anche proposte di riforma per dare attuazione ad un progetto risalente che minerebbe alle fondamenta l’assetto costituzionale della Magistratura Italiana.</w:t>
      </w:r>
    </w:p>
    <w:p w14:paraId="5E56AB82" w14:textId="320CAF3D" w:rsidR="001B38AA" w:rsidRPr="00A2123F" w:rsidRDefault="007B48BA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 xml:space="preserve">La Commissione Affari Costituzionali della Camera ha messo in calendario, dal 2 febbraio 2023, la discussione </w:t>
      </w:r>
      <w:r w:rsidR="00741757">
        <w:rPr>
          <w:rFonts w:ascii="Times New Roman" w:hAnsi="Times New Roman" w:cs="Times New Roman"/>
          <w:sz w:val="28"/>
          <w:szCs w:val="28"/>
        </w:rPr>
        <w:t xml:space="preserve">una </w:t>
      </w:r>
      <w:r w:rsidRPr="00A2123F">
        <w:rPr>
          <w:rFonts w:ascii="Times New Roman" w:hAnsi="Times New Roman" w:cs="Times New Roman"/>
          <w:sz w:val="28"/>
          <w:szCs w:val="28"/>
        </w:rPr>
        <w:t>proposta di legge che chiede di attuare la definitiva separazione delle carriere di pubblici ministeri e giudici.</w:t>
      </w:r>
    </w:p>
    <w:p w14:paraId="0ADF83E1" w14:textId="1AC2BEB9" w:rsidR="001B38AA" w:rsidRPr="00A2123F" w:rsidRDefault="007B48BA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>L</w:t>
      </w:r>
      <w:r w:rsidR="00A64409" w:rsidRPr="00A2123F">
        <w:rPr>
          <w:rFonts w:ascii="Times New Roman" w:hAnsi="Times New Roman" w:cs="Times New Roman"/>
          <w:sz w:val="28"/>
          <w:szCs w:val="28"/>
        </w:rPr>
        <w:t xml:space="preserve">a </w:t>
      </w:r>
      <w:r w:rsidR="0071123F" w:rsidRPr="00A2123F">
        <w:rPr>
          <w:rFonts w:ascii="Times New Roman" w:hAnsi="Times New Roman" w:cs="Times New Roman"/>
          <w:sz w:val="28"/>
          <w:szCs w:val="28"/>
        </w:rPr>
        <w:t>proposta</w:t>
      </w:r>
      <w:r w:rsidR="007112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123F">
        <w:rPr>
          <w:rFonts w:ascii="Times New Roman" w:hAnsi="Times New Roman" w:cs="Times New Roman"/>
          <w:sz w:val="28"/>
          <w:szCs w:val="28"/>
        </w:rPr>
        <w:t>normat</w:t>
      </w:r>
      <w:r w:rsidR="0071123F">
        <w:rPr>
          <w:rFonts w:ascii="Times New Roman" w:hAnsi="Times New Roman" w:cs="Times New Roman"/>
          <w:sz w:val="28"/>
          <w:szCs w:val="28"/>
        </w:rPr>
        <w:t>iva</w:t>
      </w:r>
      <w:r w:rsidRPr="00A2123F">
        <w:rPr>
          <w:rFonts w:ascii="Times New Roman" w:hAnsi="Times New Roman" w:cs="Times New Roman"/>
          <w:sz w:val="28"/>
          <w:szCs w:val="28"/>
        </w:rPr>
        <w:t xml:space="preserve"> s</w:t>
      </w:r>
      <w:r w:rsidR="00A64409" w:rsidRPr="00A2123F">
        <w:rPr>
          <w:rFonts w:ascii="Times New Roman" w:hAnsi="Times New Roman" w:cs="Times New Roman"/>
          <w:sz w:val="28"/>
          <w:szCs w:val="28"/>
        </w:rPr>
        <w:t>i muove</w:t>
      </w:r>
      <w:r w:rsidRPr="00A2123F">
        <w:rPr>
          <w:rFonts w:ascii="Times New Roman" w:hAnsi="Times New Roman" w:cs="Times New Roman"/>
          <w:sz w:val="28"/>
          <w:szCs w:val="28"/>
        </w:rPr>
        <w:t xml:space="preserve"> su alcune direttrici di fondo che destano profondo allarme: </w:t>
      </w:r>
      <w:r w:rsidR="00A64409" w:rsidRPr="00A2123F">
        <w:rPr>
          <w:rFonts w:ascii="Times New Roman" w:hAnsi="Times New Roman" w:cs="Times New Roman"/>
          <w:sz w:val="28"/>
          <w:szCs w:val="28"/>
        </w:rPr>
        <w:t>oltre alla separazione delle carriere t</w:t>
      </w:r>
      <w:r w:rsidRPr="00A2123F">
        <w:rPr>
          <w:rFonts w:ascii="Times New Roman" w:hAnsi="Times New Roman" w:cs="Times New Roman"/>
          <w:sz w:val="28"/>
          <w:szCs w:val="28"/>
        </w:rPr>
        <w:t>ra magistratura giudicante e magistratura requirente</w:t>
      </w:r>
      <w:r w:rsidR="00A64409" w:rsidRPr="00A2123F">
        <w:rPr>
          <w:rFonts w:ascii="Times New Roman" w:hAnsi="Times New Roman" w:cs="Times New Roman"/>
          <w:sz w:val="28"/>
          <w:szCs w:val="28"/>
        </w:rPr>
        <w:t xml:space="preserve">, la introduzione di distinti organi di autogoverno, che </w:t>
      </w:r>
      <w:r w:rsidR="00A2123F">
        <w:rPr>
          <w:rFonts w:ascii="Times New Roman" w:hAnsi="Times New Roman" w:cs="Times New Roman"/>
          <w:sz w:val="28"/>
          <w:szCs w:val="28"/>
        </w:rPr>
        <w:t xml:space="preserve">peraltro </w:t>
      </w:r>
      <w:r w:rsidR="00A64409" w:rsidRPr="00A2123F">
        <w:rPr>
          <w:rFonts w:ascii="Times New Roman" w:hAnsi="Times New Roman" w:cs="Times New Roman"/>
          <w:sz w:val="28"/>
          <w:szCs w:val="28"/>
        </w:rPr>
        <w:t xml:space="preserve">non vedranno più al loro interno la prevalenza numerica dei componenti togati, voluta dalla Costituzione </w:t>
      </w:r>
      <w:r w:rsidR="00A2123F">
        <w:rPr>
          <w:rFonts w:ascii="Times New Roman" w:hAnsi="Times New Roman" w:cs="Times New Roman"/>
          <w:sz w:val="28"/>
          <w:szCs w:val="28"/>
        </w:rPr>
        <w:t xml:space="preserve">proprio </w:t>
      </w:r>
      <w:r w:rsidR="00A64409" w:rsidRPr="00A2123F">
        <w:rPr>
          <w:rFonts w:ascii="Times New Roman" w:hAnsi="Times New Roman" w:cs="Times New Roman"/>
          <w:sz w:val="28"/>
          <w:szCs w:val="28"/>
        </w:rPr>
        <w:t>per assicurare il giusto equilibrio tra poteri e quindi l’autonomia della Magistratura.</w:t>
      </w:r>
    </w:p>
    <w:p w14:paraId="3F16BA4C" w14:textId="1EC5E003" w:rsidR="00A64409" w:rsidRPr="00A2123F" w:rsidRDefault="00A64409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>Ancora più preoccupante la progettata abolizione dell’art. 107 comma 3 della Costituzione che, nel prevedere la distinzione dei magistrati solo per funzioni, ne rappresenta la massima garanzia di indipendenza, impedendo derive verticistiche all’interno degli uffici giudiziari.</w:t>
      </w:r>
    </w:p>
    <w:p w14:paraId="56632D24" w14:textId="325D0F4C" w:rsidR="001F0526" w:rsidRDefault="001F0526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 xml:space="preserve">Una rigida separazione delle carriere porterà ad un pubblico ministero </w:t>
      </w:r>
      <w:r w:rsidR="00A2123F">
        <w:rPr>
          <w:rFonts w:ascii="Times New Roman" w:hAnsi="Times New Roman" w:cs="Times New Roman"/>
          <w:sz w:val="28"/>
          <w:szCs w:val="28"/>
        </w:rPr>
        <w:t xml:space="preserve">sempre più </w:t>
      </w:r>
      <w:r w:rsidRPr="00A2123F">
        <w:rPr>
          <w:rFonts w:ascii="Times New Roman" w:hAnsi="Times New Roman" w:cs="Times New Roman"/>
          <w:sz w:val="28"/>
          <w:szCs w:val="28"/>
        </w:rPr>
        <w:t>lontano dalla cultura della giurisdizione</w:t>
      </w:r>
      <w:r w:rsidR="00A2123F">
        <w:rPr>
          <w:rFonts w:ascii="Times New Roman" w:hAnsi="Times New Roman" w:cs="Times New Roman"/>
          <w:sz w:val="28"/>
          <w:szCs w:val="28"/>
        </w:rPr>
        <w:t>,</w:t>
      </w:r>
      <w:r w:rsidRPr="00A2123F">
        <w:rPr>
          <w:rFonts w:ascii="Times New Roman" w:hAnsi="Times New Roman" w:cs="Times New Roman"/>
          <w:sz w:val="28"/>
          <w:szCs w:val="28"/>
        </w:rPr>
        <w:t xml:space="preserve"> per divenire un "avvocato dell'accusa" </w:t>
      </w:r>
      <w:r w:rsidR="00A2123F">
        <w:rPr>
          <w:rFonts w:ascii="Times New Roman" w:hAnsi="Times New Roman" w:cs="Times New Roman"/>
          <w:sz w:val="28"/>
          <w:szCs w:val="28"/>
        </w:rPr>
        <w:t>pericolosamente piegato ai desiderata del potere politico</w:t>
      </w:r>
      <w:r w:rsidRPr="00A2123F">
        <w:rPr>
          <w:rFonts w:ascii="Times New Roman" w:hAnsi="Times New Roman" w:cs="Times New Roman"/>
          <w:sz w:val="28"/>
          <w:szCs w:val="28"/>
        </w:rPr>
        <w:t>.</w:t>
      </w:r>
    </w:p>
    <w:p w14:paraId="7CF8739E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 xml:space="preserve">Non è necessario spendere argomenti per confutare il presupposto che il giudice sia “culturalmente adesivo” alla prospettazione del pubblico ministero, essendo “collega”. </w:t>
      </w:r>
    </w:p>
    <w:p w14:paraId="62786DDB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>È la realtà dei fatti che smentisce l’assunto, perché nel 48% dei giudizi penali di primo grado l’esito è di assoluzione, il 45% di condanna, il resto ha esito misto.</w:t>
      </w:r>
    </w:p>
    <w:p w14:paraId="411B5555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lastRenderedPageBreak/>
        <w:t>E chi insiste a sostenere che la separazione è soluzione ai problemi della giustizia dimentica, evidentemente, che dal 2006 la media dei trasferimenti da una funzione all’altra è di 50 magistrati all’anno, e solo 21 nell’anno appena terminato.</w:t>
      </w:r>
    </w:p>
    <w:p w14:paraId="3720B625" w14:textId="50A57180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>Il pubblico ministero disegnato dalla riforma, quindi, rischia di allontanarsi dal ruolo di primo tutore delle garanzie individuali e dei diritti costituzionali</w:t>
      </w:r>
    </w:p>
    <w:p w14:paraId="2BBAAA9E" w14:textId="2BD6EB35" w:rsidR="001B38AA" w:rsidRPr="00A2123F" w:rsidRDefault="00A2123F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a caso, il</w:t>
      </w:r>
      <w:r w:rsidR="00A64409" w:rsidRPr="00A2123F">
        <w:rPr>
          <w:rFonts w:ascii="Times New Roman" w:hAnsi="Times New Roman" w:cs="Times New Roman"/>
          <w:sz w:val="28"/>
          <w:szCs w:val="28"/>
        </w:rPr>
        <w:t xml:space="preserve"> progetto di legge interviene anche su</w:t>
      </w:r>
      <w:r w:rsidR="007B48BA" w:rsidRPr="00A2123F">
        <w:rPr>
          <w:rFonts w:ascii="Times New Roman" w:hAnsi="Times New Roman" w:cs="Times New Roman"/>
          <w:sz w:val="28"/>
          <w:szCs w:val="28"/>
        </w:rPr>
        <w:t>ll’obbligatorietà dell’azione penale che verrebbe esercitata esclusivamente «nei casi e nei modi previsti dalla legge»</w:t>
      </w:r>
      <w:r w:rsidR="00A64409" w:rsidRPr="00A2123F">
        <w:rPr>
          <w:rFonts w:ascii="Times New Roman" w:hAnsi="Times New Roman" w:cs="Times New Roman"/>
          <w:sz w:val="28"/>
          <w:szCs w:val="28"/>
        </w:rPr>
        <w:t xml:space="preserve">, con il rischio di ledere il principio di uguaglianza dei cittadini nelle scelte di </w:t>
      </w:r>
      <w:r>
        <w:rPr>
          <w:rFonts w:ascii="Times New Roman" w:hAnsi="Times New Roman" w:cs="Times New Roman"/>
          <w:sz w:val="28"/>
          <w:szCs w:val="28"/>
        </w:rPr>
        <w:t>esercizio dell’</w:t>
      </w:r>
      <w:r w:rsidR="001F0526" w:rsidRPr="00A2123F">
        <w:rPr>
          <w:rFonts w:ascii="Times New Roman" w:hAnsi="Times New Roman" w:cs="Times New Roman"/>
          <w:sz w:val="28"/>
          <w:szCs w:val="28"/>
        </w:rPr>
        <w:t>azione penale.</w:t>
      </w:r>
    </w:p>
    <w:p w14:paraId="049719EA" w14:textId="77777777" w:rsidR="001F0526" w:rsidRPr="00A2123F" w:rsidRDefault="001F0526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 xml:space="preserve">La nostra Costituzione ha voluto realizzare una magistratura pienamente autonoma e indipendente da ogni altro potere. Oggi la prima garanzia dell’indipendenza e dell’autonomia della Magistratura è data dalla forte cultura comune che unisce, e deve sempre unire, i giudici e pubblici ministeri, costruendo in ogni magistrato una precisa identità radicata nel ruolo di tutela dei diritti fondamentali dei cittadini contro ogni arbitrio, ogni violenza, ogni forma di criminalità. </w:t>
      </w:r>
    </w:p>
    <w:p w14:paraId="43DA4386" w14:textId="6B0B9657" w:rsidR="001F0526" w:rsidRPr="00A2123F" w:rsidRDefault="001F0526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>La terzietà del giudice, fondamentale come condizione per la sua imparzialità, va attuata e rafforzata all’interno del processo, con una piena applicazione dei principi fissati dalla Corte europea dei diritti dell’uomo, e non certo con soluzioni che ci allontanano non solo dalla nostra tradizione giuridica</w:t>
      </w:r>
      <w:r w:rsidR="003C5427">
        <w:rPr>
          <w:rFonts w:ascii="Times New Roman" w:hAnsi="Times New Roman" w:cs="Times New Roman"/>
          <w:sz w:val="28"/>
          <w:szCs w:val="28"/>
        </w:rPr>
        <w:t>,</w:t>
      </w:r>
      <w:r w:rsidRPr="00A2123F">
        <w:rPr>
          <w:rFonts w:ascii="Times New Roman" w:hAnsi="Times New Roman" w:cs="Times New Roman"/>
          <w:sz w:val="28"/>
          <w:szCs w:val="28"/>
        </w:rPr>
        <w:t xml:space="preserve"> ma anche dalle linee di tendenza più significative presenti nel panorama europeo e internazionale. </w:t>
      </w:r>
    </w:p>
    <w:p w14:paraId="0D0F388A" w14:textId="77777777" w:rsidR="00A2123F" w:rsidRPr="00A2123F" w:rsidRDefault="001F0526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 xml:space="preserve">Purtroppo, in Italia, già oggi a seguito degli interventi normativi verificatisi a partire dal 2006, sono pochissimi i passaggi da una funzione all’altra. Eppure, già nel 2000 il Comitato dei Ministri del Consiglio d’Europa, che ha un’impronta fortemente garantista, aveva raccomandato a tutti i Paesi di “consentire di svolgere successivamente le due funzioni”, le quali richiedono “analoghe garanzie in termini di qualifiche, competenze e status”. Si era precisato che “tale disposizione costituisce anche un'ulteriore tutela per il pubblico ministero”. La prospettiva del Consiglio </w:t>
      </w:r>
      <w:r w:rsidRPr="00A2123F">
        <w:rPr>
          <w:rFonts w:ascii="Times New Roman" w:hAnsi="Times New Roman" w:cs="Times New Roman"/>
          <w:sz w:val="28"/>
          <w:szCs w:val="28"/>
        </w:rPr>
        <w:lastRenderedPageBreak/>
        <w:t xml:space="preserve">d’Europa merita di essere condivisa con convinzione proprio alla luce dell’esperienza italiana. </w:t>
      </w:r>
    </w:p>
    <w:p w14:paraId="7E9EBBA5" w14:textId="2CC1E248" w:rsidR="00A2123F" w:rsidRDefault="001F0526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23F">
        <w:rPr>
          <w:rFonts w:ascii="Times New Roman" w:hAnsi="Times New Roman" w:cs="Times New Roman"/>
          <w:sz w:val="28"/>
          <w:szCs w:val="28"/>
        </w:rPr>
        <w:t xml:space="preserve">La comune cultura della giurisdizione, che attualmente impone una comune formazione - iniziale e permanente - del Giudice e del Pubblico Ministero, costituisce un argine potente contro ogni rischio di pericolose derive del Pubblico Ministero. Cambiare sarebbe in controtendenza con una lunga tradizione italiana, che è un importante modello di riferimento in ambito europeo. </w:t>
      </w:r>
    </w:p>
    <w:p w14:paraId="627FBE5F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>L’ANM ritiene che l’appartenenza dei magistrati ad un unico corpo professionale, espressamente voluta dal Costituente, rappresenti una conquista da preservare, coltivare e valorizzare.</w:t>
      </w:r>
    </w:p>
    <w:p w14:paraId="60FE17E9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>L’autonomia e l’indipendenza potranno dirsi effettive solo se assicurate anche ai magistrati del pubblico ministero che non possono diventare avvocati dell’accusa, preoccupati degli esiti favorevoli dei processi, prima che dell’esito di giustizia.</w:t>
      </w:r>
    </w:p>
    <w:p w14:paraId="79BF0D35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>L’autonomia e l’indipendenza della magistratura sono garanzie poste a presidio delle libertà dei cittadini, certo non dei magistrati e, al contempo, limiti a possibili compressioni da parte delle contingenti maggioranze di governo.</w:t>
      </w:r>
    </w:p>
    <w:p w14:paraId="316AA630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>Del resto la formazione di due CSM renderebbe abnorme il potere dei pubblici ministeri: ora sono 5 su 20 membri del CSM, con la riforma diventerebbero la totalità dei membri togati del consiglio dedicato. Una concentrazione di potere di questo genere non potrà che sfociare, prima o poi, nell’individuazione di un referente nel potere esecutivo, e l’inevitabile compressione nella tutela dei diritti dei cittadini, siano essi persone offese o imputati.</w:t>
      </w:r>
    </w:p>
    <w:p w14:paraId="637643B2" w14:textId="77777777" w:rsidR="00741757" w:rsidRPr="00741757" w:rsidRDefault="00741757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757">
        <w:rPr>
          <w:rFonts w:ascii="Times New Roman" w:hAnsi="Times New Roman" w:cs="Times New Roman"/>
          <w:sz w:val="28"/>
          <w:szCs w:val="28"/>
        </w:rPr>
        <w:t>Questo esito non è desiderabile per i cittadini, non serve ad una efficiente repressione dei reati o alla tutela delle garanzie individuali e non ci sembra desiderabile neanche dall’Avvocatura e, comunque, da chi abbia a cuore i diritti costituzionali.</w:t>
      </w:r>
    </w:p>
    <w:p w14:paraId="1EE4F519" w14:textId="77777777" w:rsidR="00A2123F" w:rsidRPr="00A2123F" w:rsidRDefault="00A2123F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94DBE" w14:textId="77777777" w:rsidR="001F0526" w:rsidRPr="00A2123F" w:rsidRDefault="001F0526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AC76D" w14:textId="77777777" w:rsidR="001B38AA" w:rsidRPr="00A2123F" w:rsidRDefault="001B38AA" w:rsidP="00741757">
      <w:pPr>
        <w:pStyle w:val="Testonormale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38AA" w:rsidRPr="00A21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87FDD"/>
    <w:multiLevelType w:val="hybridMultilevel"/>
    <w:tmpl w:val="8DDA90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12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AA"/>
    <w:rsid w:val="001B38AA"/>
    <w:rsid w:val="001F0526"/>
    <w:rsid w:val="00375D3B"/>
    <w:rsid w:val="003C5427"/>
    <w:rsid w:val="0071123F"/>
    <w:rsid w:val="00741757"/>
    <w:rsid w:val="007B48BA"/>
    <w:rsid w:val="00A2123F"/>
    <w:rsid w:val="00A64409"/>
    <w:rsid w:val="00B04126"/>
    <w:rsid w:val="00D45E3B"/>
    <w:rsid w:val="00E6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AB03"/>
  <w15:docId w15:val="{A8F66DF9-C5EC-42E3-9099-1895C0DA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pPr>
      <w:spacing w:after="0" w:line="240" w:lineRule="auto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Nicastro</dc:creator>
  <cp:lastModifiedBy>Piera</cp:lastModifiedBy>
  <cp:revision>2</cp:revision>
  <cp:lastPrinted>2023-02-03T10:51:00Z</cp:lastPrinted>
  <dcterms:created xsi:type="dcterms:W3CDTF">2023-02-07T09:20:00Z</dcterms:created>
  <dcterms:modified xsi:type="dcterms:W3CDTF">2023-02-07T09:20:00Z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153c8cb84f4e4dc8b74e93f8f6e5127e</vt:lpwstr>
  </property>
</Properties>
</file>